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55F261" w14:textId="3508BA5C" w:rsidR="00D21D15" w:rsidRPr="009E7446" w:rsidRDefault="00D21D15" w:rsidP="00110F74">
      <w:pPr>
        <w:contextualSpacing w:val="0"/>
        <w:rPr>
          <w:b/>
          <w:bCs/>
          <w:szCs w:val="24"/>
        </w:rPr>
      </w:pPr>
      <w:bookmarkStart w:id="0" w:name="_GoBack"/>
      <w:bookmarkEnd w:id="0"/>
      <w:r w:rsidRPr="009E7446">
        <w:rPr>
          <w:b/>
          <w:bCs/>
          <w:szCs w:val="24"/>
        </w:rPr>
        <w:t>Geografie wyobrażone. Chorwacka i serbska proza fantastyczna lat dziewięćdziesiątych wobec rzeczywistości</w:t>
      </w:r>
    </w:p>
    <w:p w14:paraId="2D1E444E" w14:textId="77777777" w:rsidR="00D21D15" w:rsidRDefault="00D21D15" w:rsidP="006F2E6F">
      <w:pPr>
        <w:ind w:firstLine="708"/>
      </w:pPr>
    </w:p>
    <w:p w14:paraId="76BCD6D5" w14:textId="4F529C32" w:rsidR="007D0EB0" w:rsidRDefault="00147F00" w:rsidP="006F2E6F">
      <w:pPr>
        <w:ind w:firstLine="708"/>
      </w:pPr>
      <w:r>
        <w:t>C</w:t>
      </w:r>
      <w:r w:rsidR="006F2E6F" w:rsidRPr="006F2E6F">
        <w:t xml:space="preserve">elem </w:t>
      </w:r>
      <w:r w:rsidR="006F2E6F">
        <w:t>dysertacji było</w:t>
      </w:r>
      <w:r w:rsidR="006F2E6F" w:rsidRPr="006F2E6F">
        <w:t xml:space="preserve"> zbadanie </w:t>
      </w:r>
      <w:r w:rsidR="00F41242" w:rsidRPr="009E7446">
        <w:t>nurtu literatury fantastycznej</w:t>
      </w:r>
      <w:r w:rsidR="00F41242" w:rsidRPr="006F2E6F">
        <w:t xml:space="preserve"> </w:t>
      </w:r>
      <w:r w:rsidR="006F2E6F" w:rsidRPr="006F2E6F">
        <w:t>pozostającego na obrzeżach pola literackiego</w:t>
      </w:r>
      <w:r w:rsidR="009E7446">
        <w:t xml:space="preserve"> </w:t>
      </w:r>
      <w:r w:rsidR="006F2E6F">
        <w:t>zarówno w Chorwacji</w:t>
      </w:r>
      <w:r w:rsidR="009E7446">
        <w:t>, jak</w:t>
      </w:r>
      <w:r w:rsidR="006F2E6F">
        <w:t xml:space="preserve"> i </w:t>
      </w:r>
      <w:r w:rsidR="009E7446">
        <w:t xml:space="preserve">w </w:t>
      </w:r>
      <w:r w:rsidR="006F2E6F">
        <w:t xml:space="preserve">Serbii. Aby pokazać potencjał fantastyki jako </w:t>
      </w:r>
      <w:r w:rsidR="00F41242">
        <w:t xml:space="preserve">gatunku traktującego </w:t>
      </w:r>
      <w:r w:rsidR="006F2E6F">
        <w:t>o świecie empirycznym, ale także dokonać rozpoznań dotyczących jej możliwych funkcji</w:t>
      </w:r>
      <w:r w:rsidR="009E7446">
        <w:t xml:space="preserve">, </w:t>
      </w:r>
      <w:r w:rsidR="006F2E6F">
        <w:t xml:space="preserve">wybrałam lata dziewięćdziesiąte XX wieku. Dla chorwackiej, jak i serbskiej fantastyki jest to okres, w którym po wielu latach istnienia wspólnej, jugosłowiańskiej sceny literackiej, dochodzi do nagłego ograniczenia kontaktów między chorwackimi i serbskimi pisarzami, tłumaczami, redaktorami i uczestnikami życia literackiego. Lata dziewięćdziesiąte XX wieku to także czas zmiany paradygmatu fantastyki – wypracowane wówczas przez twórców modyfikacje, zarówno genologiczne, jak i tematyczne, mają dzisiaj kluczowe znaczenie dla charakteru tej literatury. </w:t>
      </w:r>
    </w:p>
    <w:p w14:paraId="71D9CEC8" w14:textId="11A48257" w:rsidR="006F2E6F" w:rsidRDefault="006F2E6F" w:rsidP="006F2E6F">
      <w:pPr>
        <w:ind w:firstLine="708"/>
      </w:pPr>
      <w:r>
        <w:t>Ponadto, rok 1991 jako data oznaczająca rozpad Jugosławii i początek wojen, stanowi istotną cezurę nie tylko w życiu literackim obu tych krajów. Ostatnia dekada XX wieku to okres gwałtownych politycznych, społecznych i ekonomicznych przemian, czas transformacji, zastępowania jednych kategorii poznawczych innymi, przewartościowywania takich pojęć jak naród, inność czy tożsamość</w:t>
      </w:r>
      <w:r w:rsidR="009E7446">
        <w:t xml:space="preserve"> oraz</w:t>
      </w:r>
      <w:r>
        <w:t xml:space="preserve"> ponownego namysłu nad własną historią. Rozpad dotychczasowego organizmu państwowego i pojawienie się nowych państw wymusiło </w:t>
      </w:r>
      <w:r w:rsidR="00110F74">
        <w:t xml:space="preserve">również </w:t>
      </w:r>
      <w:r>
        <w:t>konieczność redefinicji rozmaitych kategorii związanych z przestrzenią. Jak stwierdza Sylwia Nowak-Bajcar, ten charakterystyczny dla lat dziewięćdziesiątych w Serbii stan „nazwać by można umownie stanem konfrontacji z rozpadem mapy i koniecznością ponownego jej uporządkowania”. Analogiczny proces widoczny jest także w Chorwacji</w:t>
      </w:r>
      <w:r w:rsidR="00110F74">
        <w:t xml:space="preserve"> –</w:t>
      </w:r>
      <w:r>
        <w:t xml:space="preserve"> Magdalena Dyras zwraca uwagę, że próby samookreślania się i wytwarzania tożsamości mają źródło w „procesie różnicowania i wytyczania granic”. Uporządkowanie mapy wiąże się z koniecznością reinterpretacji imaginarium spacjalnego oraz wpisania w przestrzeń nowych znaczeń</w:t>
      </w:r>
      <w:r w:rsidR="00E649D7">
        <w:t>.</w:t>
      </w:r>
      <w:r>
        <w:t xml:space="preserve"> </w:t>
      </w:r>
      <w:r w:rsidR="00E649D7">
        <w:t>M</w:t>
      </w:r>
      <w:r>
        <w:t>ożemy zatem powiedzieć, że w latach dziewięćdziesiątych w obu krajach obserwujemy kształtowanie się nowych kulturowych reprezentacji miejsc, krajobrazów czy określonych obszarów</w:t>
      </w:r>
      <w:r w:rsidR="00E649D7">
        <w:t>, a zatem</w:t>
      </w:r>
      <w:r>
        <w:t xml:space="preserve"> geografii wyobrażonych, tak jak rozumie je za Edwardem Saidem Elżbieta Rybicka.</w:t>
      </w:r>
    </w:p>
    <w:p w14:paraId="4A0FCFE0" w14:textId="4FAF881E" w:rsidR="006F2E6F" w:rsidRDefault="006F2E6F" w:rsidP="006F2E6F">
      <w:pPr>
        <w:ind w:firstLine="708"/>
      </w:pPr>
      <w:r>
        <w:t>Tymczasem wśród zabiegów stosowanych przez pisarzy fantastyki duże znaczeni</w:t>
      </w:r>
      <w:r w:rsidR="00E649D7">
        <w:t>e</w:t>
      </w:r>
      <w:r>
        <w:t xml:space="preserve"> ma możliwość modyfikacji znanych z rzeczywistości empirycznej relacji przestrzennych. Przestrzeń okazuje się jedną z kluczowych kategorii, która pozwala zarówno na interpretację utworów, jak i zrozumienie charakteru poszczególnych gatunków fantastycznych</w:t>
      </w:r>
      <w:r w:rsidR="00F41242">
        <w:t xml:space="preserve">, na co zwracał uwagę </w:t>
      </w:r>
      <w:r>
        <w:t xml:space="preserve">Fredric Jameson. </w:t>
      </w:r>
    </w:p>
    <w:p w14:paraId="5BA6AFAC" w14:textId="269A037C" w:rsidR="006F2E6F" w:rsidRDefault="00F41242" w:rsidP="006F2E6F">
      <w:pPr>
        <w:ind w:firstLine="708"/>
      </w:pPr>
      <w:r>
        <w:lastRenderedPageBreak/>
        <w:t>W niniejszej r</w:t>
      </w:r>
      <w:r w:rsidR="00A53BBC">
        <w:t>o</w:t>
      </w:r>
      <w:r>
        <w:t>zprawie p</w:t>
      </w:r>
      <w:r w:rsidR="006F2E6F">
        <w:t>rzedmiotem analizy i interpretacji jest</w:t>
      </w:r>
      <w:r w:rsidR="00DA6736">
        <w:t xml:space="preserve"> </w:t>
      </w:r>
      <w:r w:rsidR="006F2E6F">
        <w:t>nurt literatury fantastycznej, który w Polsce nie posiada adekwatnej nazwy i obejmuje takie gatunki, jak:</w:t>
      </w:r>
      <w:r w:rsidR="006F2E6F">
        <w:rPr>
          <w:i/>
        </w:rPr>
        <w:t xml:space="preserve"> science fiction</w:t>
      </w:r>
      <w:r w:rsidR="006F2E6F">
        <w:t xml:space="preserve">, </w:t>
      </w:r>
      <w:r w:rsidR="006F2E6F">
        <w:rPr>
          <w:i/>
        </w:rPr>
        <w:t>fantasy</w:t>
      </w:r>
      <w:r w:rsidR="006F2E6F">
        <w:t>, horror, utopia i dystopia oraz historia alternatywna, dlatego bywa określany mianem fantastyki gatunkowej. Ogląd, jakiemu zostały poddane należące do niej wybrane utwory prozatorskie powstałe w Chorwacji i Serbii w ostatniej dekadzie XX wieku, dokonany został z perspektywy geopoetyki jako literaturoznawczej orientacji badawczej oraz z punktu widzenia genologii. Refleksja nad literackimi geografiami wyobrażonymi pozwala na zadanie pytań o stosunek fantastyki tego okresu do kluczowych problemów współczesności oraz określenie jej subwersywnego lub koncyliacyjnego charakteru wobec dominujących wówczas ideologii, a zatem namysł nad funkcjami tego nurtu fantastyki.</w:t>
      </w:r>
    </w:p>
    <w:p w14:paraId="24AE3785" w14:textId="7D81E80F" w:rsidR="006F2E6F" w:rsidRDefault="006F2E6F" w:rsidP="006F2E6F">
      <w:pPr>
        <w:ind w:firstLine="708"/>
      </w:pPr>
      <w:r>
        <w:t xml:space="preserve">Rozdział pierwszy pt. </w:t>
      </w:r>
      <w:r w:rsidRPr="00A64A1D">
        <w:rPr>
          <w:i/>
        </w:rPr>
        <w:t>Fantastyka –</w:t>
      </w:r>
      <w:r>
        <w:rPr>
          <w:i/>
        </w:rPr>
        <w:t xml:space="preserve"> kwestie teoretyczno-genologiczne </w:t>
      </w:r>
      <w:r>
        <w:rPr>
          <w:iCs/>
        </w:rPr>
        <w:t xml:space="preserve">podzielony został na trzy podrozdziały. W pierwszym z nich </w:t>
      </w:r>
      <w:r>
        <w:t xml:space="preserve">określam przedmiot badań poprzez przywołanie najważniejszych współczesnych teorii dotyczących fantastyki. </w:t>
      </w:r>
      <w:r w:rsidR="007D5DF5" w:rsidRPr="007D5DF5">
        <w:t xml:space="preserve">Fantastykę uznaję </w:t>
      </w:r>
      <w:r w:rsidR="007D5DF5">
        <w:t>ostatecznie</w:t>
      </w:r>
      <w:r w:rsidR="007D5DF5" w:rsidRPr="007D5DF5">
        <w:t xml:space="preserve"> wzorem Rosemary Jackson za tryb (</w:t>
      </w:r>
      <w:r w:rsidR="007D5DF5" w:rsidRPr="00E649D7">
        <w:rPr>
          <w:i/>
          <w:iCs/>
        </w:rPr>
        <w:t>mode</w:t>
      </w:r>
      <w:r w:rsidR="007D5DF5" w:rsidRPr="007D5DF5">
        <w:t>), z którego biorą początek liczne gatunki, jednak</w:t>
      </w:r>
      <w:r w:rsidR="007D5DF5">
        <w:t xml:space="preserve"> </w:t>
      </w:r>
      <w:r w:rsidR="007D5DF5" w:rsidRPr="007D5DF5">
        <w:t xml:space="preserve">definicję, możliwie inkluzyjną, zapożyczam od Kathryn Hume, z którą dzielę poczucie nieadekwatności ekskluzywnych definicji. </w:t>
      </w:r>
      <w:r>
        <w:t>Aby uniknąć częstej konfuzji, polegającej na łączeniu ze sobą rozbieżnych kategorii, dokonuję także podziału na fantastykę głównonurtową oraz fantastykę gatunkową</w:t>
      </w:r>
      <w:r w:rsidRPr="00784E55">
        <w:t>.</w:t>
      </w:r>
      <w:r>
        <w:t xml:space="preserve"> W podrozdziale drugim pt. </w:t>
      </w:r>
      <w:r w:rsidRPr="00CF3CD1">
        <w:rPr>
          <w:i/>
        </w:rPr>
        <w:t>Genologia fantasty</w:t>
      </w:r>
      <w:r>
        <w:rPr>
          <w:i/>
        </w:rPr>
        <w:t>ki gatunkowej</w:t>
      </w:r>
      <w:r>
        <w:t xml:space="preserve"> uzasadniam potrzebę pragmatycznej refleksji genologicznej w badaniach nad fantastyką gatunkową i przywołuję pokrótce najważniejsze teorie związane z kluczowymi, silnie skonwencjonalizowanymi gatunkami fantastycznymi – fantastyką naukową, </w:t>
      </w:r>
      <w:r>
        <w:rPr>
          <w:i/>
        </w:rPr>
        <w:t>fantasy</w:t>
      </w:r>
      <w:r>
        <w:t xml:space="preserve"> i fantastyką grozy. W ostatnim podrozdziale teoretycznym koncentruję się na problematyce przestrzeni – omawiam najważniejsze założenia zwrotu przestrzennego, gdyż związana z nim metodologia jest podstawowym narzędziem interpretacji utworów. Staram się także pokazać, że przestrzeń jest kategorią, dzięki której możliwe jest zrozumienie konstrukcji i funkcji poszczególnych gatunków fantastycznych.</w:t>
      </w:r>
    </w:p>
    <w:p w14:paraId="4A94C195" w14:textId="54B63E68" w:rsidR="006F2E6F" w:rsidRDefault="006F2E6F" w:rsidP="006F2E6F">
      <w:pPr>
        <w:ind w:firstLine="708"/>
      </w:pPr>
      <w:r>
        <w:t>Kolejny, drugi rozdział rozprawy został poświęcony historii fantastyki gatunkowej w Chorwacji i w Serbii,</w:t>
      </w:r>
      <w:r w:rsidRPr="00632789">
        <w:t xml:space="preserve"> </w:t>
      </w:r>
      <w:r>
        <w:t>od przypadających na przełom XIX i XX wieku początków tego nurtu aż po rok 1989, stanowi</w:t>
      </w:r>
      <w:r w:rsidR="00DA3C74">
        <w:t>ący</w:t>
      </w:r>
      <w:r>
        <w:t xml:space="preserve"> istotną dla fantastyki gatunkowej cezurę</w:t>
      </w:r>
      <w:r w:rsidR="00DA3C74">
        <w:t>, przede wszystkim ze względu na wygaszenie wówczas czasopisma „Sirius”, wokół którego zorganizowana była jugosłowiańska scena fantastycznonaukowa</w:t>
      </w:r>
      <w:r>
        <w:t>. Przemiany dotyczące okresu socjalistycznej Jugosławii opisa</w:t>
      </w:r>
      <w:r w:rsidR="00DA3C74">
        <w:t>ne zostały</w:t>
      </w:r>
      <w:r>
        <w:t xml:space="preserve"> bez podziału na literatury narodowe ze względu na ówczesne intensywne kontakty i współpracę twórców fantastyki gatunkowej z obu krajów, które można określić mianem wspólnego życia literackiego. Opisuję problematykę</w:t>
      </w:r>
      <w:r w:rsidR="00DA3C74">
        <w:t xml:space="preserve"> historycznoliteracką</w:t>
      </w:r>
      <w:r>
        <w:t xml:space="preserve"> </w:t>
      </w:r>
      <w:r>
        <w:lastRenderedPageBreak/>
        <w:t>szczegółowo, gdyż do tej pory, poza encyklopedycznymi opracowaniami dziejów fantastyki naukowej, nurt ten nie doczekał się pogłębionej uwagi literaturoznawców, o czym świadczy zaprezentowany w podrozdziale pierwszym stan badań nad</w:t>
      </w:r>
      <w:r w:rsidR="00DA3C74">
        <w:t xml:space="preserve"> </w:t>
      </w:r>
      <w:r w:rsidR="002C6211">
        <w:t xml:space="preserve">fantastyką chorwacką i </w:t>
      </w:r>
      <w:r w:rsidR="00DA3C74">
        <w:t>serbską</w:t>
      </w:r>
      <w:r>
        <w:t>. Ponadto, zrozumienie współczesnych procesów zachodzących w obrębie fantastyki gatunkowej nie jest możliwe bez wcześniejszej refleksji nad jej historią.</w:t>
      </w:r>
    </w:p>
    <w:p w14:paraId="47D349EB" w14:textId="6E84FFA8" w:rsidR="006F2E6F" w:rsidRDefault="006F2E6F" w:rsidP="006F2E6F">
      <w:pPr>
        <w:ind w:firstLine="708"/>
      </w:pPr>
      <w:r>
        <w:t xml:space="preserve">W podrozdziale czwartym i piątym prezentuję procesy, jakim </w:t>
      </w:r>
      <w:r w:rsidR="00557BB4">
        <w:t>fantastyka</w:t>
      </w:r>
      <w:r>
        <w:t xml:space="preserve"> gatunkowa podlegała w latach dziewięćdziesiątych XX wieku. </w:t>
      </w:r>
      <w:r w:rsidRPr="00F14A1C">
        <w:t>Daje się wówczas zaobserwować spadek ilości dominujących dotąd utworów reprezentujących</w:t>
      </w:r>
      <w:r w:rsidR="00557BB4">
        <w:t xml:space="preserve"> fantastykę naukową</w:t>
      </w:r>
      <w:r w:rsidRPr="00F14A1C">
        <w:t xml:space="preserve">, przede wszystkim zaś tzw. </w:t>
      </w:r>
      <w:r w:rsidRPr="00F14A1C">
        <w:rPr>
          <w:i/>
        </w:rPr>
        <w:t>hard SF</w:t>
      </w:r>
      <w:r w:rsidRPr="00F14A1C">
        <w:t xml:space="preserve"> i wzrost ilości dzieł spod znaku fantastyki (post)gatunkowej, utworów hybrydycznych czy też nurtu </w:t>
      </w:r>
      <w:r w:rsidRPr="00F14A1C">
        <w:rPr>
          <w:i/>
        </w:rPr>
        <w:t>slipstream</w:t>
      </w:r>
      <w:r w:rsidRPr="00F14A1C">
        <w:t>.</w:t>
      </w:r>
      <w:r>
        <w:t xml:space="preserve"> Istotne zmiany pojawiają się także w obrębie samych dzieł literackich i dotyczą tematyki – twórcy coraz chętniej sytuują akcję utworów w przestrzeniach rodzimych: w miejscach znanych z rzeczywistości chorwackiej lub serbskiej. </w:t>
      </w:r>
      <w:r w:rsidR="00557BB4">
        <w:t>Do</w:t>
      </w:r>
      <w:r>
        <w:t xml:space="preserve"> utworów wprowadzane są </w:t>
      </w:r>
      <w:r w:rsidR="00557BB4">
        <w:t xml:space="preserve"> także </w:t>
      </w:r>
      <w:r>
        <w:t>elementy historii</w:t>
      </w:r>
      <w:r w:rsidR="002C6211">
        <w:t xml:space="preserve"> Chorwacji i Serbii</w:t>
      </w:r>
      <w:r>
        <w:t xml:space="preserve">, mitologii słowiańskiej oraz bezpośrednie nawiązania do wydarzeń lat dziewięćdziesiątych. </w:t>
      </w:r>
      <w:r w:rsidR="007D5DF5">
        <w:t>Pokrótce</w:t>
      </w:r>
      <w:r w:rsidR="00557BB4">
        <w:t xml:space="preserve"> o</w:t>
      </w:r>
      <w:r w:rsidR="007D5DF5">
        <w:t>mawiam także</w:t>
      </w:r>
      <w:r>
        <w:t xml:space="preserve"> oddziaływanie powstałego </w:t>
      </w:r>
      <w:r w:rsidR="00557BB4">
        <w:t xml:space="preserve">wówczas </w:t>
      </w:r>
      <w:r>
        <w:t xml:space="preserve">modelu fantastyki gatunkowej na obecny kształt </w:t>
      </w:r>
      <w:r w:rsidR="007D5DF5">
        <w:t>tego nurtu</w:t>
      </w:r>
      <w:r>
        <w:t xml:space="preserve"> w obu krajach.</w:t>
      </w:r>
    </w:p>
    <w:p w14:paraId="0FC79F94" w14:textId="66869371" w:rsidR="006F2E6F" w:rsidRDefault="006F2E6F" w:rsidP="006F2E6F">
      <w:pPr>
        <w:ind w:firstLine="708"/>
      </w:pPr>
      <w:r>
        <w:t>W następującym po części historycznoliterackiej rozdziale analityczno-interpretacyjnym wydzieliłam trzy podrozdziały</w:t>
      </w:r>
      <w:r w:rsidR="002C6211">
        <w:t xml:space="preserve"> poświęcone</w:t>
      </w:r>
      <w:r w:rsidR="007D5DF5">
        <w:t>, zgodnie z</w:t>
      </w:r>
      <w:r>
        <w:t xml:space="preserve"> dominant</w:t>
      </w:r>
      <w:r w:rsidR="007D5DF5">
        <w:t>ami</w:t>
      </w:r>
      <w:r>
        <w:t xml:space="preserve"> tematy</w:t>
      </w:r>
      <w:r w:rsidR="007D5DF5">
        <w:t>cznymi poszczególnych utworów</w:t>
      </w:r>
      <w:r>
        <w:t xml:space="preserve">, </w:t>
      </w:r>
      <w:r w:rsidR="002C6211">
        <w:t>zagadnieniom</w:t>
      </w:r>
      <w:r>
        <w:t xml:space="preserve"> globalizm</w:t>
      </w:r>
      <w:r w:rsidR="002C6211">
        <w:t>u</w:t>
      </w:r>
      <w:r w:rsidR="007D5DF5">
        <w:t xml:space="preserve">, </w:t>
      </w:r>
      <w:r w:rsidR="002C6211">
        <w:t xml:space="preserve">lokalności </w:t>
      </w:r>
      <w:r>
        <w:t xml:space="preserve">i </w:t>
      </w:r>
      <w:r w:rsidR="002C6211">
        <w:t xml:space="preserve">problematyce </w:t>
      </w:r>
      <w:r>
        <w:t>narodow</w:t>
      </w:r>
      <w:r w:rsidR="002C6211">
        <w:t>ej</w:t>
      </w:r>
      <w:r>
        <w:t>. Utwory Gorana Konvični, Nevena Jovanovicia, Mileny Benini, Aleksandra Žiljaka, Dalibora Perkovicia, Mariny Jadrejčić, Gorana Skrobonji, Iliji Bakicia, Vladimira Lazovicia, Zorana Jakšicia, Bobana Kneževicia i Dragana Filipovicia wyselekcjonowane zostały ze względu na sposób prezentowania w nich problemu przestrzenności w kontekście takich zjawisk, jak:</w:t>
      </w:r>
      <w:r w:rsidR="007D5DF5">
        <w:t xml:space="preserve"> </w:t>
      </w:r>
      <w:r>
        <w:t>imperializm, pamięć, nowy regionalizm czy (re)konstruowanie tożsamości narodowej. Wybrane utwory są najbardziej reprezentatywnymi przykładami dokonujących się w ostatniej dekadzie XX wieku zmian paradygmatu fantastyki gatunkowej. Wyróżnia je także wysoki poziom artystyczny, zaś ich autorzy uważani są za najważniejszych twórców fantastyki gatunkowej tego okresu.</w:t>
      </w:r>
    </w:p>
    <w:p w14:paraId="1225074F" w14:textId="61E355B0" w:rsidR="006F2E6F" w:rsidRDefault="006F2E6F" w:rsidP="006F2E6F">
      <w:pPr>
        <w:ind w:firstLine="708"/>
      </w:pPr>
      <w:r>
        <w:t xml:space="preserve">Utwory zorganizowane wokół tematyki swój-obcy, imagologii terytorialnej i wytwarzania obrazu własnej wspólnoty w odniesieniu do inności analizuję w podrozdziale zatytułowanym: </w:t>
      </w:r>
      <w:r>
        <w:rPr>
          <w:i/>
        </w:rPr>
        <w:t>Globalizm: centrum w oczach peryferii</w:t>
      </w:r>
      <w:r>
        <w:t xml:space="preserve">. Tymczasem dzieła opisujące przede wszystkim wyobrażenia o własnej wspólnocie w kontekście konstruujących ją wydarzeń pozaliterackich, takich jak wojna </w:t>
      </w:r>
      <w:r w:rsidR="00A47737">
        <w:t xml:space="preserve">towarzysząca rozpadowi </w:t>
      </w:r>
      <w:r>
        <w:t xml:space="preserve">Jugosławii, oraz utwory prezentujące wizje własnej historii przedstawiam w podrozdziale pt. </w:t>
      </w:r>
      <w:r>
        <w:rPr>
          <w:i/>
        </w:rPr>
        <w:t xml:space="preserve">Przestrzeń narodu: ziemia </w:t>
      </w:r>
      <w:r>
        <w:rPr>
          <w:i/>
        </w:rPr>
        <w:lastRenderedPageBreak/>
        <w:t>przesiąknięta krwią i historią</w:t>
      </w:r>
      <w:r>
        <w:t xml:space="preserve">. Ostatni podrozdział interpretacyjno-analityczny poświęcony jest obrazom </w:t>
      </w:r>
      <w:r w:rsidR="00557BB4">
        <w:t>przestrzeni lokalnej</w:t>
      </w:r>
      <w:r>
        <w:t xml:space="preserve"> – podejmuję tu próbę omówienia utworów Mariny Jadrejčić i Dragana Filipovicia w kontekście wyobrażeń konstruujących przestrzeń regionalną oraz metodologii nowego regionalizmu, szczególnie zagadnień poświęconych związkom pamięci z miejscem. </w:t>
      </w:r>
    </w:p>
    <w:p w14:paraId="319627D5" w14:textId="3F360290" w:rsidR="006F2E6F" w:rsidRDefault="006F2E6F" w:rsidP="006F2E6F">
      <w:pPr>
        <w:ind w:firstLine="708"/>
      </w:pPr>
      <w:r>
        <w:t>W analizie utworów skupiam się na sposobie konstruowania w nich przestrzeni oraz zastosowania topiki spacjalnej – nie tylko w kontekście odniesień do rzeczywistości empirycznej, ale także obecnych w sferze publicznej narracji na temat własnej tożsamości i przeszłości. Drugą analizowaną w niniejszej rozprawie kwestią jest strategia wykorzystania kategorii przestrzennych w odniesieniu do matryc przynależących do poszczególnych gatunków fantastycznych. Jak próbuję wykazać, określenie sposobu traktowania przez poszczególnych twórców utrwalonych struktur gatunkowych pozwala na uchwycenie najważniejszych znaczeń zawartych w utworach i jest niezbędne, aby w pełni zrozumieć ich przekaz oraz zawarty w nich ładunek ideologiczny.</w:t>
      </w:r>
    </w:p>
    <w:p w14:paraId="39E7C65F" w14:textId="77777777" w:rsidR="006F2E6F" w:rsidRDefault="006F2E6F" w:rsidP="00A2582B">
      <w:pPr>
        <w:ind w:firstLine="708"/>
      </w:pPr>
      <w:r>
        <w:t>Analiza i interpretacja zaprezentowanego w pracy materiału literackiego prowadzi do konkluzji, że w chorwackiej i serbskiej fantastyce gatunkowej lat dziewięćdziesiątych XX wieku przestrzeń staje się kluczową kategorią dla konstruowania świata przedstawionego utworów literackich i generowania znaczeń istotnych dla procesu interpretacyjnego. W okresie poprzedzającym wybuch ostatniej wojny w Jugosławii przestrzeń jako element znaczący nie odgrywała tak dużej roli, przede wszystkim zaś sporadyczne były w dziełach odwołania do rzeczywistych, rodzimych miejsc. W ostatniej dekadzie XX wieku w serbskiej i chorwackiej fantastyce dochodzi do emancypacji lokalności, ale także dezintegracji tradycyjnych matryc gatunkowych.</w:t>
      </w:r>
    </w:p>
    <w:p w14:paraId="51B3F722" w14:textId="42CC85CE" w:rsidR="009E7446" w:rsidRDefault="006F2E6F" w:rsidP="009E7446">
      <w:pPr>
        <w:ind w:firstLine="720"/>
      </w:pPr>
      <w:r>
        <w:t>Twórcy z obu krajów w sposób odmienny wykorzystują potencjał kreowania przestrzeni i nadawania jej określonych znaczeń. Pisarze chorwaccy koncentrują się na odtworzeniu w utworach</w:t>
      </w:r>
      <w:r w:rsidRPr="00DC1E66">
        <w:t xml:space="preserve"> miejsc znan</w:t>
      </w:r>
      <w:r>
        <w:t>ych</w:t>
      </w:r>
      <w:r w:rsidRPr="00DC1E66">
        <w:t xml:space="preserve"> z </w:t>
      </w:r>
      <w:r>
        <w:t xml:space="preserve">rodzimej </w:t>
      </w:r>
      <w:r w:rsidRPr="00DC1E66">
        <w:t>empirii.</w:t>
      </w:r>
      <w:r w:rsidRPr="006F2E6F">
        <w:t xml:space="preserve"> </w:t>
      </w:r>
      <w:r w:rsidR="00721069">
        <w:t>R</w:t>
      </w:r>
      <w:r w:rsidRPr="00DC1E66">
        <w:t>ealnie istniejące przestrzenie i miejsca otrzymują w</w:t>
      </w:r>
      <w:r>
        <w:t xml:space="preserve"> chorwackich</w:t>
      </w:r>
      <w:r w:rsidRPr="00DC1E66">
        <w:t xml:space="preserve"> utworach rozmaite znaczenia symboliczne, </w:t>
      </w:r>
      <w:r>
        <w:t xml:space="preserve">co </w:t>
      </w:r>
      <w:r w:rsidRPr="00DC1E66">
        <w:t xml:space="preserve">jednak nie </w:t>
      </w:r>
      <w:r>
        <w:t>skutkuje podważeniem</w:t>
      </w:r>
      <w:r w:rsidRPr="00DC1E66">
        <w:t xml:space="preserve"> ich referencjalności. </w:t>
      </w:r>
      <w:r w:rsidRPr="00966634">
        <w:t>Opisywane przestrzenie posiadają w nich podwójny status – są zarazem</w:t>
      </w:r>
      <w:r w:rsidR="009E7446">
        <w:t>, cytując Elżbietę Rybicką:</w:t>
      </w:r>
      <w:r w:rsidRPr="00966634">
        <w:t xml:space="preserve"> „konkretnym miejscem na Ziemi, doświadczonym i zinterpretowanym, jak i Miejscem o znaczeniu symbolicznym”.</w:t>
      </w:r>
      <w:r>
        <w:t xml:space="preserve"> </w:t>
      </w:r>
      <w:r w:rsidRPr="00DC1E66">
        <w:t xml:space="preserve">Związek z </w:t>
      </w:r>
      <w:r>
        <w:t xml:space="preserve">empiryczną </w:t>
      </w:r>
      <w:r w:rsidRPr="00DC1E66">
        <w:t>przestrzenią jest dla fabuły utworów kluczowy, co można uznać za potwierdzenie potrzeby reinterpretacji imaginarium spacjalnego</w:t>
      </w:r>
      <w:r>
        <w:t>.</w:t>
      </w:r>
      <w:r w:rsidRPr="00DC1E66">
        <w:t xml:space="preserve"> </w:t>
      </w:r>
    </w:p>
    <w:p w14:paraId="138F0C5C" w14:textId="05C0D4E5" w:rsidR="006F2E6F" w:rsidRDefault="006F2E6F" w:rsidP="009E7446">
      <w:pPr>
        <w:ind w:firstLine="720"/>
      </w:pPr>
      <w:r w:rsidRPr="00DC1E66">
        <w:t>Inaczej jest w utworach serbskich – choć pojawiają się w nich miejsca, które posiadają odpowiedniki w świecie empirycznym, przestrzenie te są konsekwentnie defamiliaryzowane.</w:t>
      </w:r>
      <w:r>
        <w:t xml:space="preserve"> </w:t>
      </w:r>
      <w:r>
        <w:lastRenderedPageBreak/>
        <w:t>A</w:t>
      </w:r>
      <w:r w:rsidRPr="006F2E6F">
        <w:t>utorzy dokonują zabiegu odrealnienia znanych z empirii miejsc: dekonstruują oni utrwalony kulturowo system znaczeń wpisanych w toponimy, następnie zaś nadają tym miejscom nowe sensy.</w:t>
      </w:r>
      <w:r>
        <w:t xml:space="preserve"> </w:t>
      </w:r>
      <w:r w:rsidR="00782D56">
        <w:t xml:space="preserve">Ponadto, </w:t>
      </w:r>
      <w:r w:rsidRPr="006F2E6F">
        <w:t>autorzy analizowanych utworów reprezentujących serbską fantastykę gatunkową są w większym stopniu krytyczni wobec różnorodnych aspektów własnej tożsamości i rzeczywistości – historii, konstruującej wyobrażenia o narodzie mitologii czy struktur władzy swojego państwa. Twórcy chorwaccy w swoich dziełach, choć nierzadko wyrażają subwersywny stosunek wobec ideologii, szczególnie nacjonalistycznej, zdają się raczej koncentrować na budowaniu, a nie dekonstrukcji własnej tożsamości, obrazu przestrzeni narodowej oraz pozycji w świecie.</w:t>
      </w:r>
    </w:p>
    <w:sectPr w:rsidR="006F2E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7F3BD6" w14:textId="77777777" w:rsidR="00C01F59" w:rsidRDefault="00C01F59" w:rsidP="006F2E6F">
      <w:pPr>
        <w:spacing w:line="240" w:lineRule="auto"/>
      </w:pPr>
      <w:r>
        <w:separator/>
      </w:r>
    </w:p>
  </w:endnote>
  <w:endnote w:type="continuationSeparator" w:id="0">
    <w:p w14:paraId="753BA0CB" w14:textId="77777777" w:rsidR="00C01F59" w:rsidRDefault="00C01F59" w:rsidP="006F2E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D42C43" w14:textId="77777777" w:rsidR="00C01F59" w:rsidRDefault="00C01F59" w:rsidP="006F2E6F">
      <w:pPr>
        <w:spacing w:line="240" w:lineRule="auto"/>
      </w:pPr>
      <w:r>
        <w:separator/>
      </w:r>
    </w:p>
  </w:footnote>
  <w:footnote w:type="continuationSeparator" w:id="0">
    <w:p w14:paraId="24A806DE" w14:textId="77777777" w:rsidR="00C01F59" w:rsidRDefault="00C01F59" w:rsidP="006F2E6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4DF"/>
    <w:rsid w:val="000048D7"/>
    <w:rsid w:val="00102C66"/>
    <w:rsid w:val="00110F74"/>
    <w:rsid w:val="0013049E"/>
    <w:rsid w:val="00147F00"/>
    <w:rsid w:val="002C6211"/>
    <w:rsid w:val="004864A7"/>
    <w:rsid w:val="004C6A0A"/>
    <w:rsid w:val="00501089"/>
    <w:rsid w:val="00557BB4"/>
    <w:rsid w:val="00580823"/>
    <w:rsid w:val="006F2E6F"/>
    <w:rsid w:val="007134E6"/>
    <w:rsid w:val="00721069"/>
    <w:rsid w:val="00782D56"/>
    <w:rsid w:val="007932FF"/>
    <w:rsid w:val="007D0EB0"/>
    <w:rsid w:val="007D5DF5"/>
    <w:rsid w:val="00865533"/>
    <w:rsid w:val="008A74DF"/>
    <w:rsid w:val="00926A2F"/>
    <w:rsid w:val="009E7446"/>
    <w:rsid w:val="00A038C7"/>
    <w:rsid w:val="00A2582B"/>
    <w:rsid w:val="00A47737"/>
    <w:rsid w:val="00A53BBC"/>
    <w:rsid w:val="00A66983"/>
    <w:rsid w:val="00B77C67"/>
    <w:rsid w:val="00C01F59"/>
    <w:rsid w:val="00D21D15"/>
    <w:rsid w:val="00DA3C74"/>
    <w:rsid w:val="00DA6736"/>
    <w:rsid w:val="00E02A37"/>
    <w:rsid w:val="00E649D7"/>
    <w:rsid w:val="00F41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1098E"/>
  <w15:chartTrackingRefBased/>
  <w15:docId w15:val="{18EDD3BC-9AC8-4627-BFC5-3F96D39AC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6983"/>
    <w:pPr>
      <w:spacing w:after="0" w:line="360" w:lineRule="auto"/>
      <w:contextualSpacing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rsid w:val="006F2E6F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nhideWhenUsed/>
    <w:rsid w:val="006F2E6F"/>
    <w:pPr>
      <w:spacing w:line="240" w:lineRule="auto"/>
      <w:contextualSpacing w:val="0"/>
      <w:jc w:val="left"/>
    </w:pPr>
    <w:rPr>
      <w:rFonts w:asciiTheme="minorHAnsi" w:hAnsiTheme="minorHAnsi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F2E6F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6F2E6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12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12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1242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12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1242"/>
    <w:rPr>
      <w:rFonts w:ascii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124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12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4C43E5-A970-4EA6-A1C7-D1AF165C4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1692</Words>
  <Characters>10156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Wojtaszek</dc:creator>
  <cp:keywords/>
  <dc:description/>
  <cp:lastModifiedBy>Joanna</cp:lastModifiedBy>
  <cp:revision>2</cp:revision>
  <dcterms:created xsi:type="dcterms:W3CDTF">2020-10-05T09:48:00Z</dcterms:created>
  <dcterms:modified xsi:type="dcterms:W3CDTF">2020-10-05T09:48:00Z</dcterms:modified>
</cp:coreProperties>
</file>